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
      <w:r>
        <w:rPr>
          <w:b/>
          <w:i w:val="0"/>
          <w:color w:val="0D9488"/>
          <w:sz w:val="20"/>
        </w:rPr>
        <w:t>BLICK-DAHINTER.DE</w:t>
      </w:r>
    </w:p>
    <w:p>
      <w:pPr>
        <w:spacing w:after="120"/>
      </w:pPr>
      <w:r>
        <w:rPr>
          <w:rFonts w:ascii="Georgia" w:hAnsi="Georgia" w:cs="Georgia" w:eastAsia="Georgia"/>
          <w:b/>
          <w:i w:val="0"/>
          <w:sz w:val="68"/>
        </w:rPr>
        <w:t>Werkzeuge gegen den Suchtdruck</w:t>
      </w:r>
    </w:p>
    <w:p>
      <w:r>
        <w:rPr>
          <w:b w:val="0"/>
          <w:i w:val="0"/>
          <w:color w:val="5B6B7A"/>
          <w:sz w:val="30"/>
        </w:rPr>
        <w:t>Teil 02: Die Akutphase (Überleben)</w:t>
      </w:r>
    </w:p>
    <w:p>
      <w:pPr>
        <w:pBdr>
          <w:left w:val="single" w:sz="24" w:space="8" w:color="0d9488"/>
        </w:pBdr>
      </w:pPr>
      <w:r>
        <w:rPr>
          <w:b w:val="0"/>
          <w:i w:val="0"/>
          <w:sz w:val="24"/>
        </w:rPr>
        <w:t>Achtsamkeit, Gelassenheit &amp; Selbstreflexion – Impulse für den Alltag.</w:t>
      </w:r>
    </w:p>
    <w:p/>
    <w:p/>
    <w:p/>
    <w:p/>
    <w:p/>
    <w:p/>
    <w:p/>
    <w:p/>
    <w:p>
      <w:pPr>
        <w:spacing w:after="0"/>
      </w:pPr>
      <w:r>
        <w:rPr>
          <w:b w:val="0"/>
          <w:i w:val="0"/>
          <w:color w:val="5B6B7A"/>
          <w:sz w:val="20"/>
        </w:rPr>
        <w:t>Armin Hünniger · blick-dahinter.de</w:t>
      </w:r>
    </w:p>
    <w:p>
      <w:r>
        <w:rPr>
          <w:b w:val="0"/>
          <w:i w:val="0"/>
          <w:color w:val="5B6B7A"/>
          <w:sz w:val="20"/>
        </w:rPr>
        <w:t>Stand: 28.10.2026</w:t>
      </w:r>
    </w:p>
    <w:p>
      <w:r>
        <w:br w:type="page"/>
      </w:r>
    </w:p>
    <w:p>
      <w:pPr>
        <w:pStyle w:val="Heading1"/>
      </w:pPr>
      <w:r>
        <w:t>Rechtliches</w:t>
      </w:r>
    </w:p>
    <w:p>
      <w:pPr>
        <w:jc w:val="left"/>
      </w:pPr>
      <w:r>
        <w:rPr>
          <w:b/>
        </w:rPr>
        <w:t>Herausgeber</w:t>
      </w:r>
      <w:r>
        <w:br/>
      </w:r>
      <w:r>
        <w:rPr/>
        <w:t>Armin Hünniger</w:t>
      </w:r>
      <w:r>
        <w:br/>
      </w:r>
      <w:r>
        <w:rPr/>
        <w:t>Neudörferstr. 14</w:t>
      </w:r>
      <w:r>
        <w:br/>
      </w:r>
      <w:r>
        <w:rPr/>
        <w:t>90402 Nürnberg</w:t>
      </w:r>
      <w:r>
        <w:br/>
      </w:r>
      <w:r>
        <w:rPr/>
        <w:t>E-Mail: kontakt@netzsprung.de</w:t>
      </w:r>
    </w:p>
    <w:p>
      <w:pPr>
        <w:jc w:val="left"/>
      </w:pPr>
      <w:r>
        <w:rPr>
          <w:b/>
        </w:rPr>
        <w:t>Haftungsausschluss</w:t>
      </w:r>
      <w:r>
        <w:br/>
      </w:r>
      <w:r>
        <w:rPr/>
        <w:t>Die beschriebenen Informationen, Methoden und Übungen dienen ausschließlich der allgemeinen Information und Unterstützung des Genesungsprozesses. Sie sind keine medizinische oder psychologische Diagnose, Behandlung oder Therapie und ersetzen keine professionelle Behandlung durch Ärzte oder Therapeuten. Die Anwendung erfolgt auf eigene Verantwortung.</w:t>
      </w:r>
    </w:p>
    <w:p>
      <w:r>
        <w:rPr>
          <w:b w:val="0"/>
          <w:i w:val="0"/>
          <w:color w:val="5B6B7A"/>
          <w:sz w:val="18"/>
        </w:rPr>
        <w:t>© 2026 Armin Hünniger · blick-dahinter.de. Alle Rechte vorbehalten. Die Vervielfältigung oder Verbreitung – auch auszugsweise – bedarf der schriftlichen Zustimmung des Autors.</w:t>
      </w:r>
    </w:p>
    <w:p>
      <w:r>
        <w:br w:type="page"/>
      </w:r>
    </w:p>
    <w:p>
      <w:pPr>
        <w:spacing w:after="120"/>
      </w:pPr>
      <w:r>
        <w:rPr>
          <w:rFonts w:ascii="Georgia" w:hAnsi="Georgia" w:cs="Georgia" w:eastAsia="Georgia"/>
          <w:b/>
          <w:i w:val="0"/>
          <w:sz w:val="30"/>
        </w:rPr>
        <w:t>Teil 02: Die Akutphase (Überleben)</w:t>
      </w:r>
    </w:p>
    <w:p>
      <w:pPr>
        <w:pStyle w:val="Heading1"/>
      </w:pPr>
      <w:r>
        <w:t>Werkzeuge gegen den Suchtdruck</w:t>
      </w:r>
    </w:p>
    <w:p>
      <w:pPr>
        <w:spacing w:after="40"/>
      </w:pPr>
      <w:r>
        <w:rPr>
          <w:b w:val="0"/>
          <w:i/>
          <w:color w:val="5B6B7A"/>
          <w:sz w:val="24"/>
        </w:rPr>
        <w:t>– Notfall-Strategien und die 20-Minuten-Regel –</w:t>
      </w:r>
    </w:p>
    <w:p>
      <w:r>
        <w:rPr>
          <w:b w:val="0"/>
          <w:i w:val="0"/>
          <w:color w:val="5B6B7A"/>
          <w:sz w:val="18"/>
        </w:rPr>
        <w:t>Armin Hünniger · 19.03.2026 · Sucht (Alkohol)</w:t>
      </w:r>
    </w:p>
    <w:p>
      <w:pPr>
        <w:jc w:val="center"/>
      </w:pPr>
      <w:r>
        <w:drawing>
          <wp:inline xmlns:a="http://schemas.openxmlformats.org/drawingml/2006/main" xmlns:pic="http://schemas.openxmlformats.org/drawingml/2006/picture">
            <wp:extent cx="5400000" cy="2835000"/>
            <wp:docPr id="1" name="Picture 1"/>
            <wp:cNvGraphicFramePr>
              <a:graphicFrameLocks noChangeAspect="1"/>
            </wp:cNvGraphicFramePr>
            <a:graphic>
              <a:graphicData uri="http://schemas.openxmlformats.org/drawingml/2006/picture">
                <pic:pic>
                  <pic:nvPicPr>
                    <pic:cNvPr id="0" name="blick-52-compass.jpg"/>
                    <pic:cNvPicPr/>
                  </pic:nvPicPr>
                  <pic:blipFill>
                    <a:blip r:embed="rId9"/>
                    <a:stretch>
                      <a:fillRect/>
                    </a:stretch>
                  </pic:blipFill>
                  <pic:spPr>
                    <a:xfrm>
                      <a:off x="0" y="0"/>
                      <a:ext cx="5400000" cy="2835000"/>
                    </a:xfrm>
                    <a:prstGeom prst="rect"/>
                  </pic:spPr>
                </pic:pic>
              </a:graphicData>
            </a:graphic>
          </wp:inline>
        </w:drawing>
      </w:r>
    </w:p>
    <w:p>
      <w:pPr>
        <w:jc w:val="both"/>
        <w:shd w:val="clear" w:color="auto" w:fill="f0fdfa"/>
        <w:pBdr>
          <w:left w:val="single" w:sz="18" w:space="8" w:color="0d9488"/>
        </w:pBdr>
      </w:pPr>
      <w:r>
        <w:rPr/>
        <w:t>Suchtdruck ist kein dauerhafter Zustand. Er ist eine Welle. Er baut sich auf, erreicht einen schmerzhaften Gipfel und flaut dann wieder ab. Wenn du lernst, wie du diese Welle surfst, anstatt gegen sie anzukämpfen, verliert sie ihre Macht.</w:t>
      </w:r>
      <w:r>
        <w:rPr/>
        <w:t xml:space="preserve"> </w:t>
      </w:r>
    </w:p>
    <w:p>
      <w:pPr>
        <w:pStyle w:val="Heading4"/>
      </w:pPr>
      <w:r>
        <w:rPr/>
        <w:t xml:space="preserve">1. Die Physiologie des </w:t>
      </w:r>
      <w:r>
        <w:rPr/>
        <w:t>Craving</w:t>
      </w:r>
      <w:r>
        <w:rPr/>
        <w:t xml:space="preserve"> </w:t>
      </w:r>
    </w:p>
    <w:p>
      <w:pPr>
        <w:jc w:val="both"/>
      </w:pPr>
      <w:r>
        <w:rPr/>
        <w:t xml:space="preserve">Suchtdruck ist die Reaktion deines „biologischen Gedächtnisses“ auf Stress, Emotionen oder Reize (Trigger). Wenn dein Gehirn „Alkohol“ schreit, passiert das in einem Bereich, der älter und impulsiver ist als dein Verstand. Deshalb nützt es nichts, mit sich selbst zu </w:t>
      </w:r>
      <w:r>
        <w:rPr/>
        <w:t>diskutieren</w:t>
      </w:r>
      <w:r>
        <w:rPr/>
        <w:t xml:space="preserve">. Du musst </w:t>
      </w:r>
      <w:r>
        <w:rPr/>
        <w:t>handeln</w:t>
      </w:r>
      <w:r>
        <w:rPr/>
        <w:t>.</w:t>
      </w:r>
      <w:r>
        <w:rPr/>
        <w:t xml:space="preserve"> </w:t>
      </w:r>
    </w:p>
    <w:p>
      <w:pPr>
        <w:pStyle w:val="Heading4"/>
      </w:pPr>
      <w:r>
        <w:rPr/>
        <w:t>2. Die 20-Minuten-Regel (Die Verzögerungstaktik)</w:t>
      </w:r>
      <w:r>
        <w:rPr/>
        <w:t xml:space="preserve"> </w:t>
      </w:r>
    </w:p>
    <w:p>
      <w:pPr>
        <w:jc w:val="both"/>
      </w:pPr>
      <w:r>
        <w:rPr/>
        <w:t xml:space="preserve">Das </w:t>
      </w:r>
      <w:r>
        <w:rPr/>
        <w:t>Craving</w:t>
      </w:r>
      <w:r>
        <w:rPr/>
        <w:t xml:space="preserve"> ist wie ein kurzes, aber heftiges Gewitter. Es dauert fast nie länger als 20 bis 30 Minuten, sofern du nicht aktiv darüber nachdenkst, ob du dem Drang nachgeben sollst.</w:t>
      </w:r>
      <w:r>
        <w:rPr/>
        <w:t xml:space="preserve"> </w:t>
      </w:r>
    </w:p>
    <w:p>
      <w:pPr>
        <w:pStyle w:val="ListBullet"/>
        <w:jc w:val="left"/>
      </w:pPr>
      <w:r>
        <w:rPr/>
        <w:br/>
      </w:r>
      <w:r>
        <w:rPr/>
        <w:t>Die Anwendung:</w:t>
      </w:r>
      <w:r>
        <w:rPr/>
        <w:t xml:space="preserve"> Wenn das Verlangen kommt, sag dir: „Ich darf trinken, aber ich warte exakt 20 Minuten.“</w:t>
      </w:r>
      <w:r>
        <w:rPr/>
        <w:t xml:space="preserve"> </w:t>
      </w:r>
      <w:r>
        <w:rPr/>
        <w:br/>
      </w:r>
    </w:p>
    <w:p>
      <w:pPr>
        <w:pStyle w:val="ListBullet"/>
        <w:jc w:val="left"/>
      </w:pPr>
      <w:r>
        <w:rPr/>
        <w:br/>
      </w:r>
      <w:r>
        <w:rPr/>
        <w:t>Warum es funktioniert:</w:t>
      </w:r>
      <w:r>
        <w:rPr/>
        <w:t xml:space="preserve"> In diesen 20 Minuten schaltest du deinen präfrontalen Kortex (deinen „Chef“, die Vernunft) ein. Du nimmst dem Impuls die Unmittelbarkeit. Meist ist das heftigste Verlangen danach schon verflogen.</w:t>
      </w:r>
      <w:r>
        <w:rPr/>
        <w:t xml:space="preserve"> </w:t>
      </w:r>
      <w:r>
        <w:rPr/>
        <w:br/>
      </w:r>
    </w:p>
    <w:p>
      <w:pPr>
        <w:pStyle w:val="Heading4"/>
      </w:pPr>
      <w:r>
        <w:rPr/>
        <w:t>3. Soforthilfe-Werkzeuge (Deine Werkzeugkiste)</w:t>
      </w:r>
      <w:r>
        <w:rPr/>
        <w:t xml:space="preserve"> </w:t>
      </w:r>
    </w:p>
    <w:p>
      <w:pPr>
        <w:jc w:val="both"/>
      </w:pPr>
      <w:r>
        <w:rPr/>
        <w:t>Wenn der Druck steigt, brauchst du eine „Notfall-Aktion“, die dein Gehirn aus der Suchtschleife herauskatapultiert:</w:t>
      </w:r>
      <w:r>
        <w:rPr/>
        <w:t xml:space="preserve"> </w:t>
      </w:r>
    </w:p>
    <w:p>
      <w:pPr>
        <w:pStyle w:val="ListBullet"/>
        <w:jc w:val="left"/>
      </w:pPr>
      <w:r>
        <w:rPr/>
        <w:br/>
      </w:r>
      <w:r>
        <w:rPr/>
        <w:t>Kältereiz:</w:t>
      </w:r>
      <w:r>
        <w:rPr/>
        <w:t xml:space="preserve"> Spüle deine Hände und dein Gesicht mit eiskaltem Wasser ab oder halte einen Eiswürfel in der Hand. Der Kältereiz ist so stark, dass er das Nervensystem zwingt, den Fokus sofort auf das Hier und Jetzt zu richten.</w:t>
      </w:r>
      <w:r>
        <w:rPr/>
        <w:t xml:space="preserve"> </w:t>
      </w:r>
      <w:r>
        <w:rPr/>
        <w:br/>
      </w:r>
    </w:p>
    <w:p>
      <w:pPr>
        <w:pStyle w:val="ListBullet"/>
        <w:jc w:val="left"/>
      </w:pPr>
      <w:r>
        <w:rPr/>
        <w:br/>
      </w:r>
      <w:r>
        <w:rPr/>
        <w:t>Atemtechnik:</w:t>
      </w:r>
      <w:r>
        <w:rPr/>
        <w:t xml:space="preserve"> Atme 4 Sekunden ein, halte 4 Sekunden an, atme 4 Sekunden aus. Wiederhole das. Das signalisiert deinem Körper: „Es gibt keine unmittelbare Gefahr.“</w:t>
      </w:r>
      <w:r>
        <w:rPr/>
        <w:t xml:space="preserve"> </w:t>
      </w:r>
      <w:r>
        <w:rPr/>
        <w:br/>
      </w:r>
    </w:p>
    <w:p>
      <w:pPr>
        <w:pStyle w:val="ListBullet"/>
        <w:jc w:val="left"/>
      </w:pPr>
      <w:r>
        <w:rPr/>
        <w:br/>
      </w:r>
      <w:r>
        <w:rPr/>
        <w:t>Physische Ablenkung:</w:t>
      </w:r>
      <w:r>
        <w:rPr/>
        <w:t xml:space="preserve"> „Energie muss raus.“ 20 Kniebeugen, ein schneller Sprint um den Block oder das intensive Putzen einer Schublade. Bewegung baut die Cortisol-Spannung ab, die oft unter dem Suchtdruck liegt.</w:t>
      </w:r>
      <w:r>
        <w:rPr/>
        <w:t xml:space="preserve"> </w:t>
      </w:r>
      <w:r>
        <w:rPr/>
        <w:br/>
      </w:r>
    </w:p>
    <w:p>
      <w:pPr>
        <w:pStyle w:val="ListBullet"/>
        <w:jc w:val="left"/>
      </w:pPr>
      <w:r>
        <w:rPr/>
        <w:br/>
      </w:r>
      <w:r>
        <w:rPr/>
        <w:t>Die 3-Menschen-Regel:</w:t>
      </w:r>
      <w:r>
        <w:rPr/>
        <w:t xml:space="preserve"> Habe eine Liste mit 3 Telefonnummern von Menschen, die wissen, dass du gerade kämpfst. Ruf einen davon an – und zwar </w:t>
      </w:r>
      <w:r>
        <w:rPr/>
        <w:t>bevor</w:t>
      </w:r>
      <w:r>
        <w:rPr/>
        <w:t xml:space="preserve"> du trinken gehst.</w:t>
      </w:r>
      <w:r>
        <w:rPr/>
        <w:t xml:space="preserve"> </w:t>
      </w:r>
      <w:r>
        <w:rPr/>
        <w:br/>
      </w:r>
    </w:p>
    <w:p>
      <w:pPr>
        <w:pStyle w:val="Heading4"/>
      </w:pPr>
      <w:r>
        <w:rPr/>
        <w:t>4. Trigger-Management</w:t>
      </w:r>
      <w:r>
        <w:rPr/>
        <w:t xml:space="preserve"> </w:t>
      </w:r>
    </w:p>
    <w:p>
      <w:pPr>
        <w:jc w:val="both"/>
      </w:pPr>
      <w:r>
        <w:rPr/>
        <w:t>Du musst wissen, was bei dir den Suchtdruck auslöst. Das können Orte sein (das Stammlokal), Gefühle (Einsamkeit, Wut) oder soziale Situationen (Partys).</w:t>
      </w:r>
      <w:r>
        <w:rPr/>
        <w:t xml:space="preserve"> </w:t>
      </w:r>
    </w:p>
    <w:p>
      <w:pPr>
        <w:pStyle w:val="ListBullet"/>
        <w:jc w:val="left"/>
      </w:pPr>
      <w:r>
        <w:rPr/>
        <w:br/>
      </w:r>
      <w:r>
        <w:rPr/>
        <w:t>Meiden:</w:t>
      </w:r>
      <w:r>
        <w:rPr/>
        <w:t xml:space="preserve"> Wenn du weißt, dass dich ein Ort triggert, geh nicht hin. In der Anfangsphase ist Vermeidung kein Zeichen von Schwäche, sondern strategische Klugheit.</w:t>
      </w:r>
      <w:r>
        <w:rPr/>
        <w:t xml:space="preserve"> </w:t>
      </w:r>
      <w:r>
        <w:rPr/>
        <w:br/>
      </w:r>
    </w:p>
    <w:p>
      <w:pPr>
        <w:pStyle w:val="ListBullet"/>
        <w:jc w:val="left"/>
      </w:pPr>
      <w:r>
        <w:rPr/>
        <w:br/>
      </w:r>
      <w:r>
        <w:rPr/>
        <w:t>Ersetzen:</w:t>
      </w:r>
      <w:r>
        <w:rPr/>
        <w:t xml:space="preserve"> Wenn du weißt, dass du abends beim Fernsehen gerne trinkst, verändere das Setting. Ändere die Sitzposition, trink einen speziellen Tee oder mach etwas mit den Händen (Basteln, Schreiben).</w:t>
      </w:r>
      <w:r>
        <w:rPr/>
        <w:t xml:space="preserve"> </w:t>
      </w:r>
      <w:r>
        <w:rPr/>
        <w:br/>
      </w:r>
    </w:p>
    <w:p>
      <w:pPr>
        <w:pStyle w:val="Heading4"/>
      </w:pPr>
      <w:r>
        <w:rPr/>
        <w:t>5. Das Suchtdruck-Tagebuch</w:t>
      </w:r>
      <w:r>
        <w:rPr/>
        <w:t xml:space="preserve"> </w:t>
      </w:r>
    </w:p>
    <w:p>
      <w:pPr>
        <w:jc w:val="both"/>
      </w:pPr>
      <w:r>
        <w:rPr/>
        <w:t>Schreibe auf, wann der Druck kam. Was hast du getan? Hat es funktioniert? Mit der Zeit wirst du dein eigenes „Muster“ erkennen. Das macht den Suchtdruck vorhersehbar. Und was vorhersehbar ist, ist beherrschbar.</w:t>
      </w:r>
      <w:r>
        <w:rPr/>
        <w:t xml:space="preserve"> </w:t>
      </w:r>
    </w:p>
    <w:p>
      <w:pPr>
        <w:jc w:val="both"/>
      </w:pPr>
      <w:r>
        <w:rPr/>
        <w:t xml:space="preserve"> </w:t>
      </w:r>
    </w:p>
    <w:p>
      <w:pPr>
        <w:pStyle w:val="Heading4"/>
      </w:pPr>
      <w:r>
        <w:rPr/>
        <w:t>Reflexionsfragen zu Kapitel 4</w:t>
      </w:r>
      <w:r>
        <w:rPr/>
        <w:t xml:space="preserve"> </w:t>
      </w:r>
    </w:p>
    <w:p>
      <w:pPr>
        <w:pStyle w:val="ListBullet"/>
        <w:jc w:val="left"/>
      </w:pPr>
      <w:r>
        <w:rPr/>
        <w:br/>
      </w:r>
      <w:r>
        <w:rPr/>
        <w:t>Welches der genannten Werkzeuge (Kälte, Atem, Bewegung) fühlt sich für dich am ehesten „machbar“ an?</w:t>
      </w:r>
      <w:r>
        <w:rPr/>
        <w:t xml:space="preserve"> </w:t>
      </w:r>
      <w:r>
        <w:rPr/>
        <w:br/>
      </w:r>
    </w:p>
    <w:p>
      <w:pPr>
        <w:pStyle w:val="ListBullet"/>
        <w:jc w:val="left"/>
      </w:pPr>
      <w:r>
        <w:rPr/>
        <w:br/>
      </w:r>
      <w:r>
        <w:rPr/>
        <w:t>Wer sind die 3 Menschen, die auf deiner Notfall-Liste stehen würden?</w:t>
      </w:r>
      <w:r>
        <w:rPr/>
        <w:t xml:space="preserve"> </w:t>
      </w:r>
      <w:r>
        <w:rPr/>
        <w:br/>
      </w:r>
    </w:p>
    <w:p>
      <w:pPr>
        <w:pStyle w:val="ListBullet"/>
        <w:jc w:val="left"/>
      </w:pPr>
      <w:r>
        <w:rPr/>
        <w:br/>
      </w:r>
      <w:r>
        <w:rPr/>
        <w:t>Gibt es einen bestimmten Ort oder eine Zeit am Tag, an der der Suchtdruck bei dir am höchsten ist? Was kannst du dort strukturell verändern, um diesen Reiz zu minimieren?</w:t>
      </w:r>
      <w:r>
        <w:rPr/>
        <w:t xml:space="preserve"> </w:t>
      </w:r>
      <w:r>
        <w:rPr/>
        <w:br/>
      </w:r>
    </w:p>
    <w:p>
      <w:pPr>
        <w:jc w:val="both"/>
      </w:pPr>
      <w:r>
        <w:rPr/>
        <w:t xml:space="preserve"> </w:t>
      </w:r>
    </w:p>
    <w:p>
      <w:pPr>
        <w:jc w:val="both"/>
      </w:pPr>
      <w:r>
        <w:rPr/>
        <w:t xml:space="preserve"> </w:t>
      </w:r>
    </w:p>
    <w:p>
      <w:r>
        <w:br w:type="page"/>
      </w:r>
    </w:p>
    <w:p/>
    <w:p/>
    <w:p/>
    <w:p/>
    <w:p/>
    <w:p/>
    <w:p/>
    <w:p/>
    <w:p>
      <w:pPr>
        <w:jc w:val="center"/>
      </w:pPr>
      <w:r>
        <w:rPr>
          <w:rFonts w:ascii="Georgia" w:hAnsi="Georgia" w:cs="Georgia" w:eastAsia="Georgia"/>
          <w:b/>
          <w:i w:val="0"/>
          <w:color w:val="0D9488"/>
          <w:sz w:val="52"/>
        </w:rPr>
        <w:t>Danke fürs Lesen</w:t>
      </w:r>
    </w:p>
    <w:p>
      <w:pPr>
        <w:jc w:val="center"/>
      </w:pPr>
      <w:r>
        <w:rPr/>
        <w:t>Mehr Impulse und Beiträge gibt es auf</w:t>
      </w:r>
    </w:p>
    <w:p>
      <w:pPr>
        <w:jc w:val="center"/>
      </w:pPr>
      <w:r>
        <w:rPr/>
        <w:t>blick-dahinter.de</w:t>
      </w:r>
    </w:p>
    <w:p>
      <w:pPr>
        <w:jc w:val="center"/>
      </w:pPr>
      <w:r>
        <w:rPr>
          <w:b w:val="0"/>
          <w:i w:val="0"/>
          <w:color w:val="5B6B7A"/>
          <w:sz w:val="16"/>
        </w:rPr>
        <w:t>© 2026 Armin Hünniger · blick-dahinter.de. Alle Rechte vorbehalten. Die Vervielfältigung oder Verbreitung – auch auszugsweise – bedarf der schriftlichen Zustimmung des Autors.</w:t>
      </w:r>
    </w:p>
    <w:sectPr w:rsidR="00FC693F" w:rsidRPr="0006063C" w:rsidSect="00034616">
      <w:pgSz w:w="11906" w:h="16838"/>
      <w:pgMar w:top="1361" w:right="1247" w:bottom="1361"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88" w:lineRule="auto"/>
    </w:pPr>
    <w:rPr>
      <w:rFonts w:ascii="Calibri" w:hAnsi="Calibri"/>
      <w:color w:val="1F2A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Georgia" w:hAnsi="Georgia" w:cs="Georgia" w:eastAsia="Georgia"/>
      <w:b/>
      <w:bCs/>
      <w:i w:val="0"/>
      <w:color w:val="0D9488"/>
      <w:sz w:val="48"/>
      <w:szCs w:val="28"/>
    </w:rPr>
  </w:style>
  <w:style w:type="paragraph" w:styleId="Heading2">
    <w:name w:val="heading 2"/>
    <w:basedOn w:val="Normal"/>
    <w:next w:val="Normal"/>
    <w:link w:val="Heading2Char"/>
    <w:uiPriority w:val="9"/>
    <w:unhideWhenUsed/>
    <w:qFormat/>
    <w:rsid w:val="00FC693F"/>
    <w:pPr>
      <w:keepNext/>
      <w:keepLines/>
      <w:spacing w:before="320" w:after="120"/>
      <w:outlineLvl w:val="1"/>
    </w:pPr>
    <w:rPr>
      <w:rFonts w:ascii="Georgia" w:hAnsi="Georgia" w:cs="Georgia" w:eastAsia="Georgia"/>
      <w:b/>
      <w:bCs/>
      <w:i w:val="0"/>
      <w:color w:val="0D9488"/>
      <w:sz w:val="36"/>
      <w:szCs w:val="26"/>
    </w:rPr>
  </w:style>
  <w:style w:type="paragraph" w:styleId="Heading3">
    <w:name w:val="heading 3"/>
    <w:basedOn w:val="Normal"/>
    <w:next w:val="Normal"/>
    <w:link w:val="Heading3Char"/>
    <w:uiPriority w:val="9"/>
    <w:unhideWhenUsed/>
    <w:qFormat/>
    <w:rsid w:val="00FC693F"/>
    <w:pPr>
      <w:keepNext/>
      <w:keepLines/>
      <w:spacing w:before="320" w:after="120"/>
      <w:outlineLvl w:val="2"/>
    </w:pPr>
    <w:rPr>
      <w:rFonts w:ascii="Georgia" w:hAnsi="Georgia" w:cs="Georgia" w:eastAsia="Georgia"/>
      <w:b/>
      <w:bCs/>
      <w:i w:val="0"/>
      <w:color w:val="0D9488"/>
      <w:sz w:val="28"/>
    </w:rPr>
  </w:style>
  <w:style w:type="paragraph" w:styleId="Heading4">
    <w:name w:val="heading 4"/>
    <w:basedOn w:val="Normal"/>
    <w:next w:val="Normal"/>
    <w:link w:val="Heading4Char"/>
    <w:uiPriority w:val="9"/>
    <w:semiHidden/>
    <w:unhideWhenUsed/>
    <w:qFormat/>
    <w:rsid w:val="00FC693F"/>
    <w:pPr>
      <w:keepNext/>
      <w:keepLines/>
      <w:spacing w:before="320" w:after="120"/>
      <w:outlineLvl w:val="3"/>
    </w:pPr>
    <w:rPr>
      <w:rFonts w:ascii="Georgia" w:hAnsi="Georgia" w:cs="Georgia" w:eastAsia="Georgia"/>
      <w:b/>
      <w:bCs/>
      <w:i w:val="0"/>
      <w:iCs/>
      <w:color w:val="0D9488"/>
      <w:sz w:val="24"/>
    </w:rPr>
  </w:style>
  <w:style w:type="paragraph" w:styleId="Heading5">
    <w:name w:val="heading 5"/>
    <w:basedOn w:val="Normal"/>
    <w:next w:val="Normal"/>
    <w:link w:val="Heading5Char"/>
    <w:uiPriority w:val="9"/>
    <w:semiHidden/>
    <w:unhideWhenUsed/>
    <w:qFormat/>
    <w:rsid w:val="00FC693F"/>
    <w:pPr>
      <w:keepNext/>
      <w:keepLines/>
      <w:spacing w:before="320" w:after="120"/>
      <w:outlineLvl w:val="4"/>
    </w:pPr>
    <w:rPr>
      <w:rFonts w:ascii="Georgia" w:hAnsi="Georgia" w:cs="Georgia" w:eastAsia="Georgia"/>
      <w:b/>
      <w:i w:val="0"/>
      <w:color w:val="1F2A37"/>
      <w:sz w:val="22"/>
    </w:rPr>
  </w:style>
  <w:style w:type="paragraph" w:styleId="Heading6">
    <w:name w:val="heading 6"/>
    <w:basedOn w:val="Normal"/>
    <w:next w:val="Normal"/>
    <w:link w:val="Heading6Char"/>
    <w:uiPriority w:val="9"/>
    <w:semiHidden/>
    <w:unhideWhenUsed/>
    <w:qFormat/>
    <w:rsid w:val="00FC693F"/>
    <w:pPr>
      <w:keepNext/>
      <w:keepLines/>
      <w:spacing w:before="320" w:after="120"/>
      <w:outlineLvl w:val="5"/>
    </w:pPr>
    <w:rPr>
      <w:rFonts w:ascii="Georgia" w:hAnsi="Georgia" w:cs="Georgia" w:eastAsia="Georgia"/>
      <w:b/>
      <w:i w:val="0"/>
      <w:iCs/>
      <w:color w:val="1F2A37"/>
      <w:sz w:val="2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