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p/>
    <w:p>
      <w:r>
        <w:rPr>
          <w:b/>
          <w:i w:val="0"/>
          <w:color w:val="0D9488"/>
          <w:sz w:val="20"/>
        </w:rPr>
        <w:t>BLICK-DAHINTER.DE</w:t>
      </w:r>
    </w:p>
    <w:p>
      <w:pPr>
        <w:spacing w:after="120"/>
      </w:pPr>
      <w:r>
        <w:rPr>
          <w:rFonts w:ascii="Georgia" w:hAnsi="Georgia" w:cs="Georgia" w:eastAsia="Georgia"/>
          <w:b/>
          <w:i w:val="0"/>
          <w:sz w:val="68"/>
        </w:rPr>
        <w:t>Das Ende der Selbstlüge</w:t>
      </w:r>
    </w:p>
    <w:p>
      <w:r>
        <w:rPr>
          <w:b w:val="0"/>
          <w:i w:val="0"/>
          <w:color w:val="5B6B7A"/>
          <w:sz w:val="30"/>
        </w:rPr>
        <w:t>Teil 01: Die Bestandsaufnahme (Ehrlichkeit)</w:t>
      </w:r>
    </w:p>
    <w:p>
      <w:pPr>
        <w:pBdr>
          <w:left w:val="single" w:sz="24" w:space="8" w:color="0d9488"/>
        </w:pBdr>
      </w:pPr>
      <w:r>
        <w:rPr>
          <w:b w:val="0"/>
          <w:i w:val="0"/>
          <w:sz w:val="24"/>
        </w:rPr>
        <w:t>Achtsamkeit, Gelassenheit &amp; Selbstreflexion – Impulse für den Alltag.</w:t>
      </w:r>
    </w:p>
    <w:p/>
    <w:p/>
    <w:p/>
    <w:p/>
    <w:p/>
    <w:p/>
    <w:p/>
    <w:p/>
    <w:p>
      <w:pPr>
        <w:spacing w:after="0"/>
      </w:pPr>
      <w:r>
        <w:rPr>
          <w:b w:val="0"/>
          <w:i w:val="0"/>
          <w:color w:val="5B6B7A"/>
          <w:sz w:val="20"/>
        </w:rPr>
        <w:t>Armin Hünniger · blick-dahinter.de</w:t>
      </w:r>
    </w:p>
    <w:p>
      <w:r>
        <w:rPr>
          <w:b w:val="0"/>
          <w:i w:val="0"/>
          <w:color w:val="5B6B7A"/>
          <w:sz w:val="20"/>
        </w:rPr>
        <w:t>Stand: 27.10.2026</w:t>
      </w:r>
    </w:p>
    <w:p>
      <w:r>
        <w:br w:type="page"/>
      </w:r>
    </w:p>
    <w:p>
      <w:pPr>
        <w:pStyle w:val="Heading1"/>
      </w:pPr>
      <w:r>
        <w:t>Rechtliches</w:t>
      </w:r>
    </w:p>
    <w:p>
      <w:pPr>
        <w:jc w:val="left"/>
      </w:pPr>
      <w:r>
        <w:rPr>
          <w:b/>
        </w:rPr>
        <w:t>Herausgeber</w:t>
      </w:r>
      <w:r>
        <w:br/>
      </w:r>
      <w:r>
        <w:rPr/>
        <w:t>Armin Hünniger</w:t>
      </w:r>
      <w:r>
        <w:br/>
      </w:r>
      <w:r>
        <w:rPr/>
        <w:t>Neudörferstr. 14</w:t>
      </w:r>
      <w:r>
        <w:br/>
      </w:r>
      <w:r>
        <w:rPr/>
        <w:t>90402 Nürnberg</w:t>
      </w:r>
      <w:r>
        <w:br/>
      </w:r>
      <w:r>
        <w:rPr/>
        <w:t>E-Mail: kontakt@netzsprung.de</w:t>
      </w:r>
    </w:p>
    <w:p>
      <w:pPr>
        <w:jc w:val="left"/>
      </w:pPr>
      <w:r>
        <w:rPr>
          <w:b/>
        </w:rPr>
        <w:t>Haftungsausschluss</w:t>
      </w:r>
      <w:r>
        <w:br/>
      </w:r>
      <w:r>
        <w:rPr/>
        <w:t>Die beschriebenen Informationen, Methoden und Übungen dienen ausschließlich der allgemeinen Information und Unterstützung des Genesungsprozesses. Sie sind keine medizinische oder psychologische Diagnose, Behandlung oder Therapie und ersetzen keine professionelle Behandlung durch Ärzte oder Therapeuten. Die Anwendung erfolgt auf eigene Verantwortung.</w:t>
      </w:r>
    </w:p>
    <w:p>
      <w:r>
        <w:rPr>
          <w:b w:val="0"/>
          <w:i w:val="0"/>
          <w:color w:val="5B6B7A"/>
          <w:sz w:val="18"/>
        </w:rPr>
        <w:t>© 2026 Armin Hünniger · blick-dahinter.de. Alle Rechte vorbehalten. Die Vervielfältigung oder Verbreitung – auch auszugsweise – bedarf der schriftlichen Zustimmung des Autors.</w:t>
      </w:r>
    </w:p>
    <w:p>
      <w:r>
        <w:br w:type="page"/>
      </w:r>
    </w:p>
    <w:p>
      <w:pPr>
        <w:spacing w:after="120"/>
      </w:pPr>
      <w:r>
        <w:rPr>
          <w:rFonts w:ascii="Georgia" w:hAnsi="Georgia" w:cs="Georgia" w:eastAsia="Georgia"/>
          <w:b/>
          <w:i w:val="0"/>
          <w:sz w:val="30"/>
        </w:rPr>
        <w:t>Teil 01: Die Bestandsaufnahme (Ehrlichkeit)</w:t>
      </w:r>
    </w:p>
    <w:p>
      <w:pPr>
        <w:pStyle w:val="Heading1"/>
      </w:pPr>
      <w:r>
        <w:t>Das Ende der Selbstlüge</w:t>
      </w:r>
    </w:p>
    <w:p>
      <w:pPr>
        <w:spacing w:after="40"/>
      </w:pPr>
      <w:r>
        <w:rPr>
          <w:b w:val="0"/>
          <w:i/>
          <w:color w:val="5B6B7A"/>
          <w:sz w:val="24"/>
        </w:rPr>
        <w:t>– Symptome, Missbrauch vs. Abhängigkeit –</w:t>
      </w:r>
    </w:p>
    <w:p>
      <w:r>
        <w:rPr>
          <w:b w:val="0"/>
          <w:i w:val="0"/>
          <w:color w:val="5B6B7A"/>
          <w:sz w:val="18"/>
        </w:rPr>
        <w:t>Armin Hünniger · 19.03.2026 · Sucht (Alkohol)</w:t>
      </w:r>
    </w:p>
    <w:p>
      <w:pPr>
        <w:jc w:val="center"/>
      </w:pPr>
      <w:r>
        <w:drawing>
          <wp:inline xmlns:a="http://schemas.openxmlformats.org/drawingml/2006/main" xmlns:pic="http://schemas.openxmlformats.org/drawingml/2006/picture">
            <wp:extent cx="5400000" cy="2835000"/>
            <wp:docPr id="1" name="Picture 1"/>
            <wp:cNvGraphicFramePr>
              <a:graphicFrameLocks noChangeAspect="1"/>
            </wp:cNvGraphicFramePr>
            <a:graphic>
              <a:graphicData uri="http://schemas.openxmlformats.org/drawingml/2006/picture">
                <pic:pic>
                  <pic:nvPicPr>
                    <pic:cNvPr id="0" name="blick-50-path.jpg"/>
                    <pic:cNvPicPr/>
                  </pic:nvPicPr>
                  <pic:blipFill>
                    <a:blip r:embed="rId9"/>
                    <a:stretch>
                      <a:fillRect/>
                    </a:stretch>
                  </pic:blipFill>
                  <pic:spPr>
                    <a:xfrm>
                      <a:off x="0" y="0"/>
                      <a:ext cx="5400000" cy="2835000"/>
                    </a:xfrm>
                    <a:prstGeom prst="rect"/>
                  </pic:spPr>
                </pic:pic>
              </a:graphicData>
            </a:graphic>
          </wp:inline>
        </w:drawing>
      </w:r>
    </w:p>
    <w:p>
      <w:pPr>
        <w:jc w:val="both"/>
        <w:shd w:val="clear" w:color="auto" w:fill="f0fdfa"/>
        <w:pBdr>
          <w:left w:val="single" w:sz="18" w:space="8" w:color="0d9488"/>
        </w:pBdr>
      </w:pPr>
      <w:r>
        <w:rPr/>
        <w:t>Die größte Hürde auf dem Weg in die Freiheit ist die Maske, die wir uns selbst aufsetzen. Sucht lebt von der Verdrängung. Sie flüstert dir ein: „Das ist doch alles noch im grünen Bereich.“ In diesem Kapitel legen wir die Karten auf den Tisch.</w:t>
      </w:r>
      <w:r>
        <w:rPr/>
        <w:t xml:space="preserve"> </w:t>
      </w:r>
    </w:p>
    <w:p>
      <w:pPr>
        <w:pStyle w:val="Heading4"/>
      </w:pPr>
      <w:r>
        <w:rPr/>
        <w:t>1. Die Eskalationsstufen: Wenn das Glas die Kontrolle übernimmt</w:t>
      </w:r>
      <w:r>
        <w:rPr/>
        <w:t xml:space="preserve"> </w:t>
      </w:r>
    </w:p>
    <w:p>
      <w:pPr>
        <w:jc w:val="both"/>
      </w:pPr>
      <w:r>
        <w:rPr/>
        <w:t>Nicht jeder, der trinkt, ist abhängig – aber jeder Abhängige hat den Weg über den Missbrauch genommen. Es ist ein schleichender Übergang:</w:t>
      </w:r>
      <w:r>
        <w:rPr/>
        <w:t xml:space="preserve"> </w:t>
      </w:r>
    </w:p>
    <w:p>
      <w:pPr>
        <w:pStyle w:val="ListBullet"/>
        <w:jc w:val="left"/>
      </w:pPr>
      <w:r>
        <w:rPr/>
        <w:br/>
      </w:r>
      <w:r>
        <w:rPr/>
        <w:t>Der Gebrauch:</w:t>
      </w:r>
      <w:r>
        <w:rPr/>
        <w:t xml:space="preserve"> Gelegentliches Trinken, das keinen nennenswerten Einfluss auf deine Persönlichkeit oder dein Umfeld hat.</w:t>
      </w:r>
      <w:r>
        <w:rPr/>
        <w:t xml:space="preserve"> </w:t>
      </w:r>
      <w:r>
        <w:rPr/>
        <w:br/>
      </w:r>
    </w:p>
    <w:p>
      <w:pPr>
        <w:pStyle w:val="ListBullet"/>
        <w:jc w:val="left"/>
      </w:pPr>
      <w:r>
        <w:rPr/>
        <w:br/>
      </w:r>
      <w:r>
        <w:rPr/>
        <w:t>Der Missbrauch:</w:t>
      </w:r>
      <w:r>
        <w:rPr/>
        <w:t xml:space="preserve"> Alkohol wird zum Werkzeug. Du trinkst, um negative Gefühle (Stress, Einsamkeit, Leistungsdruck) zu dämpfen. Hier entstehen die ersten „Kollateralschäden“: Du hast Blackouts, verlierst wichtige Termine, oder dein Umfeld beginnt, sich Sorgen zu machen. Du verleugnest diese Fakten konsequent.</w:t>
      </w:r>
      <w:r>
        <w:rPr/>
        <w:t xml:space="preserve"> </w:t>
      </w:r>
      <w:r>
        <w:rPr/>
        <w:br/>
      </w:r>
    </w:p>
    <w:p>
      <w:pPr>
        <w:pStyle w:val="ListBullet"/>
        <w:jc w:val="left"/>
      </w:pPr>
      <w:r>
        <w:rPr/>
        <w:br/>
      </w:r>
      <w:r>
        <w:rPr/>
        <w:t>Die Abhängigkeit:</w:t>
      </w:r>
      <w:r>
        <w:rPr/>
        <w:t xml:space="preserve"> Hier ist der Punkt der Kapitulation vor der Substanz erreicht. Dein Gehirn „braucht“ den Alkohol, um zu funktionieren. Der Kontrollverlust ist manifest: Du nimmst dir vor, heute nicht zu trinken – und trinkst doch.</w:t>
      </w:r>
      <w:r>
        <w:rPr/>
        <w:t xml:space="preserve"> </w:t>
      </w:r>
      <w:r>
        <w:rPr/>
        <w:br/>
      </w:r>
    </w:p>
    <w:p>
      <w:pPr>
        <w:pStyle w:val="Heading4"/>
      </w:pPr>
      <w:r>
        <w:rPr/>
        <w:t>2. Das Warnsignal „Kontrollverlust“</w:t>
      </w:r>
      <w:r>
        <w:rPr/>
        <w:t xml:space="preserve"> </w:t>
      </w:r>
    </w:p>
    <w:p>
      <w:pPr>
        <w:jc w:val="both"/>
      </w:pPr>
      <w:r>
        <w:rPr/>
        <w:t xml:space="preserve">Viele Betroffene glauben, sie hätten die Kontrolle, weil sie noch arbeiten gehen oder ihren Alltag meistern. Doch wahre Kontrolle misst sich nicht an der Leistung, sondern an der Freiheit. Wenn du dich fragst, ob du abhängig bist, achte nicht auf die Menge, sondern auf die </w:t>
      </w:r>
      <w:r>
        <w:rPr/>
        <w:t>Macht der Sucht</w:t>
      </w:r>
      <w:r>
        <w:rPr/>
        <w:t>:</w:t>
      </w:r>
      <w:r>
        <w:rPr/>
        <w:t xml:space="preserve"> </w:t>
      </w:r>
    </w:p>
    <w:p>
      <w:pPr>
        <w:pStyle w:val="ListBullet"/>
        <w:jc w:val="left"/>
      </w:pPr>
      <w:r>
        <w:rPr/>
        <w:br/>
      </w:r>
      <w:r>
        <w:rPr/>
        <w:t>Kannst du aufhören, wenn du willst?</w:t>
      </w:r>
      <w:r>
        <w:rPr/>
        <w:t xml:space="preserve"> (Oder findest du jedes Mal eine Ausrede, warum es „heute gerade nicht geht“?)</w:t>
      </w:r>
      <w:r>
        <w:rPr/>
        <w:t xml:space="preserve"> </w:t>
      </w:r>
      <w:r>
        <w:rPr/>
        <w:br/>
      </w:r>
    </w:p>
    <w:p>
      <w:pPr>
        <w:pStyle w:val="ListBullet"/>
        <w:jc w:val="left"/>
      </w:pPr>
      <w:r>
        <w:rPr/>
        <w:br/>
      </w:r>
      <w:r>
        <w:rPr/>
        <w:t>Denkst du ständig an den nächsten Moment, in dem du trinken kannst?</w:t>
      </w:r>
      <w:r>
        <w:rPr/>
        <w:t xml:space="preserve"> </w:t>
      </w:r>
      <w:r>
        <w:rPr/>
        <w:br/>
      </w:r>
    </w:p>
    <w:p>
      <w:pPr>
        <w:pStyle w:val="ListBullet"/>
        <w:jc w:val="left"/>
      </w:pPr>
      <w:r>
        <w:rPr/>
        <w:br/>
      </w:r>
      <w:r>
        <w:rPr/>
        <w:t>Hast du das Gefühl, dass Alkohol dir „hilft“, während er gleichzeitig dein Leben leise abbaut?</w:t>
      </w:r>
      <w:r>
        <w:rPr/>
        <w:t xml:space="preserve"> </w:t>
      </w:r>
      <w:r>
        <w:rPr/>
        <w:br/>
      </w:r>
    </w:p>
    <w:p>
      <w:pPr>
        <w:pStyle w:val="Heading4"/>
      </w:pPr>
      <w:r>
        <w:rPr/>
        <w:t>3. Warum wir lügen (auch vor uns selbst)</w:t>
      </w:r>
      <w:r>
        <w:rPr/>
        <w:t xml:space="preserve"> </w:t>
      </w:r>
    </w:p>
    <w:p>
      <w:pPr>
        <w:jc w:val="both"/>
      </w:pPr>
      <w:r>
        <w:rPr/>
        <w:t>Wir lügen nicht, weil wir schlechte Menschen sind. Wir lügen, um unser Selbstbild zu schützen. Die Erkenntnis „Ich bin alkoholabhängig“ ist so schmerzhaft, dass unser Gehirn alle Verteidigungsmechanismen hochfährt:</w:t>
      </w:r>
      <w:r>
        <w:rPr/>
        <w:t xml:space="preserve"> </w:t>
      </w:r>
    </w:p>
    <w:p>
      <w:pPr>
        <w:pStyle w:val="ListBullet"/>
        <w:jc w:val="left"/>
      </w:pPr>
      <w:r>
        <w:rPr/>
        <w:br/>
      </w:r>
      <w:r>
        <w:rPr/>
        <w:t>Verharmlosung:</w:t>
      </w:r>
      <w:r>
        <w:rPr/>
        <w:t xml:space="preserve"> „Ich trinke ja nur Wein, keinen Schnaps.“</w:t>
      </w:r>
      <w:r>
        <w:rPr/>
        <w:t xml:space="preserve"> </w:t>
      </w:r>
      <w:r>
        <w:rPr/>
        <w:br/>
      </w:r>
    </w:p>
    <w:p>
      <w:pPr>
        <w:pStyle w:val="ListBullet"/>
        <w:jc w:val="left"/>
      </w:pPr>
      <w:r>
        <w:rPr/>
        <w:br/>
      </w:r>
      <w:r>
        <w:rPr/>
        <w:t>Projektion:</w:t>
      </w:r>
      <w:r>
        <w:rPr/>
        <w:t xml:space="preserve"> „Andere trinken genauso viel wie ich.“</w:t>
      </w:r>
      <w:r>
        <w:rPr/>
        <w:t xml:space="preserve"> </w:t>
      </w:r>
      <w:r>
        <w:rPr/>
        <w:br/>
      </w:r>
    </w:p>
    <w:p>
      <w:pPr>
        <w:pStyle w:val="ListBullet"/>
        <w:jc w:val="left"/>
      </w:pPr>
      <w:r>
        <w:rPr/>
        <w:br/>
      </w:r>
      <w:r>
        <w:rPr/>
        <w:t>Rechtfertigung:</w:t>
      </w:r>
      <w:r>
        <w:rPr/>
        <w:t xml:space="preserve"> „Nach diesem Tag habe ich es mir verdient.“</w:t>
      </w:r>
      <w:r>
        <w:rPr/>
        <w:t xml:space="preserve"> </w:t>
      </w:r>
      <w:r>
        <w:rPr/>
        <w:br/>
      </w:r>
    </w:p>
    <w:p>
      <w:pPr>
        <w:pStyle w:val="Heading4"/>
      </w:pPr>
      <w:r>
        <w:rPr/>
        <w:t>4. Ehrlichkeit als radikaler Akt</w:t>
      </w:r>
      <w:r>
        <w:rPr/>
        <w:t xml:space="preserve"> </w:t>
      </w:r>
    </w:p>
    <w:p>
      <w:pPr>
        <w:jc w:val="both"/>
      </w:pPr>
      <w:r>
        <w:rPr/>
        <w:t xml:space="preserve">Das Ende der Selbstlüge beginnt mit einer einfachen, ungeschminkten Beobachtung deines Lebens. Wenn du die Symptome deines Missbrauchs oder deiner Abhängigkeit beim Namen nennst – ohne dich dafür zu verurteilen –, nimmst du der Sucht ihre Tarnkappe weg. </w:t>
      </w:r>
      <w:r>
        <w:rPr/>
        <w:t>Du kannst nur heilen, was du bereit bist, beim Namen zu nennen.</w:t>
      </w:r>
      <w:r>
        <w:rPr/>
        <w:t xml:space="preserve"> </w:t>
      </w:r>
    </w:p>
    <w:p>
      <w:pPr>
        <w:jc w:val="both"/>
      </w:pPr>
      <w:r>
        <w:rPr/>
        <w:t xml:space="preserve"> </w:t>
      </w:r>
    </w:p>
    <w:p>
      <w:pPr>
        <w:pStyle w:val="Heading4"/>
      </w:pPr>
      <w:r>
        <w:rPr/>
        <w:t>Reflexionsfragen zu Kapitel 2</w:t>
      </w:r>
      <w:r>
        <w:rPr/>
        <w:t xml:space="preserve"> </w:t>
      </w:r>
    </w:p>
    <w:p>
      <w:pPr>
        <w:pStyle w:val="ListBullet"/>
        <w:jc w:val="left"/>
      </w:pPr>
      <w:r>
        <w:rPr/>
        <w:br/>
      </w:r>
      <w:r>
        <w:rPr/>
        <w:t>Wenn du eine ehrliche Bestandsaufnahme deines letzten Jahres machen würdest: Wie oft hast du dich selbst belogen, um dein Trinkverhalten vor dir zu rechtfertigen?</w:t>
      </w:r>
      <w:r>
        <w:rPr/>
        <w:t xml:space="preserve"> </w:t>
      </w:r>
      <w:r>
        <w:rPr/>
        <w:br/>
      </w:r>
    </w:p>
    <w:p>
      <w:pPr>
        <w:pStyle w:val="ListBullet"/>
        <w:jc w:val="left"/>
      </w:pPr>
      <w:r>
        <w:rPr/>
        <w:br/>
      </w:r>
      <w:r>
        <w:rPr/>
        <w:t>Welche Situationen waren für dich die „roten Linien“, die du eigentlich nicht hättest überschreiten wollen, bei denen du es aber doch getan hast?</w:t>
      </w:r>
      <w:r>
        <w:rPr/>
        <w:t xml:space="preserve"> </w:t>
      </w:r>
      <w:r>
        <w:rPr/>
        <w:br/>
      </w:r>
    </w:p>
    <w:p>
      <w:pPr>
        <w:pStyle w:val="ListBullet"/>
        <w:jc w:val="left"/>
      </w:pPr>
      <w:r>
        <w:rPr/>
        <w:br/>
      </w:r>
      <w:r>
        <w:rPr/>
        <w:t>Bist du bereit, für die nächsten 24 Stunden vollkommen ehrlich zu dir selbst zu sein, ohne dich zu verteidigen?</w:t>
      </w:r>
      <w:r>
        <w:rPr/>
        <w:t xml:space="preserve"> </w:t>
      </w:r>
      <w:r>
        <w:rPr/>
        <w:br/>
      </w:r>
    </w:p>
    <w:p>
      <w:pPr>
        <w:jc w:val="both"/>
      </w:pPr>
      <w:r>
        <w:rPr/>
        <w:t xml:space="preserve"> </w:t>
      </w:r>
    </w:p>
    <w:p>
      <w:pPr>
        <w:jc w:val="both"/>
      </w:pPr>
      <w:r>
        <w:rPr/>
        <w:t xml:space="preserve"> </w:t>
      </w:r>
    </w:p>
    <w:p>
      <w:r>
        <w:br w:type="page"/>
      </w:r>
    </w:p>
    <w:p/>
    <w:p/>
    <w:p/>
    <w:p/>
    <w:p/>
    <w:p/>
    <w:p/>
    <w:p/>
    <w:p>
      <w:pPr>
        <w:jc w:val="center"/>
      </w:pPr>
      <w:r>
        <w:rPr>
          <w:rFonts w:ascii="Georgia" w:hAnsi="Georgia" w:cs="Georgia" w:eastAsia="Georgia"/>
          <w:b/>
          <w:i w:val="0"/>
          <w:color w:val="0D9488"/>
          <w:sz w:val="52"/>
        </w:rPr>
        <w:t>Danke fürs Lesen</w:t>
      </w:r>
    </w:p>
    <w:p>
      <w:pPr>
        <w:jc w:val="center"/>
      </w:pPr>
      <w:r>
        <w:rPr/>
        <w:t>Mehr Impulse und Beiträge gibt es auf</w:t>
      </w:r>
    </w:p>
    <w:p>
      <w:pPr>
        <w:jc w:val="center"/>
      </w:pPr>
      <w:r>
        <w:rPr/>
        <w:t>blick-dahinter.de</w:t>
      </w:r>
    </w:p>
    <w:p>
      <w:pPr>
        <w:jc w:val="center"/>
      </w:pPr>
      <w:r>
        <w:rPr>
          <w:b w:val="0"/>
          <w:i w:val="0"/>
          <w:color w:val="5B6B7A"/>
          <w:sz w:val="16"/>
        </w:rPr>
        <w:t>© 2026 Armin Hünniger · blick-dahinter.de. Alle Rechte vorbehalten. Die Vervielfältigung oder Verbreitung – auch auszugsweise – bedarf der schriftlichen Zustimmung des Autors.</w:t>
      </w:r>
    </w:p>
    <w:sectPr w:rsidR="00FC693F" w:rsidRPr="0006063C" w:rsidSect="00034616">
      <w:pgSz w:w="11906" w:h="16838"/>
      <w:pgMar w:top="1361" w:right="1247" w:bottom="1361"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88" w:lineRule="auto"/>
    </w:pPr>
    <w:rPr>
      <w:rFonts w:ascii="Calibri" w:hAnsi="Calibri"/>
      <w:color w:val="1F2A37"/>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20"/>
      <w:outlineLvl w:val="0"/>
    </w:pPr>
    <w:rPr>
      <w:rFonts w:ascii="Georgia" w:hAnsi="Georgia" w:cs="Georgia" w:eastAsia="Georgia"/>
      <w:b/>
      <w:bCs/>
      <w:i w:val="0"/>
      <w:color w:val="0D9488"/>
      <w:sz w:val="48"/>
      <w:szCs w:val="28"/>
    </w:rPr>
  </w:style>
  <w:style w:type="paragraph" w:styleId="Heading2">
    <w:name w:val="heading 2"/>
    <w:basedOn w:val="Normal"/>
    <w:next w:val="Normal"/>
    <w:link w:val="Heading2Char"/>
    <w:uiPriority w:val="9"/>
    <w:unhideWhenUsed/>
    <w:qFormat/>
    <w:rsid w:val="00FC693F"/>
    <w:pPr>
      <w:keepNext/>
      <w:keepLines/>
      <w:spacing w:before="320" w:after="120"/>
      <w:outlineLvl w:val="1"/>
    </w:pPr>
    <w:rPr>
      <w:rFonts w:ascii="Georgia" w:hAnsi="Georgia" w:cs="Georgia" w:eastAsia="Georgia"/>
      <w:b/>
      <w:bCs/>
      <w:i w:val="0"/>
      <w:color w:val="0D9488"/>
      <w:sz w:val="36"/>
      <w:szCs w:val="26"/>
    </w:rPr>
  </w:style>
  <w:style w:type="paragraph" w:styleId="Heading3">
    <w:name w:val="heading 3"/>
    <w:basedOn w:val="Normal"/>
    <w:next w:val="Normal"/>
    <w:link w:val="Heading3Char"/>
    <w:uiPriority w:val="9"/>
    <w:unhideWhenUsed/>
    <w:qFormat/>
    <w:rsid w:val="00FC693F"/>
    <w:pPr>
      <w:keepNext/>
      <w:keepLines/>
      <w:spacing w:before="320" w:after="120"/>
      <w:outlineLvl w:val="2"/>
    </w:pPr>
    <w:rPr>
      <w:rFonts w:ascii="Georgia" w:hAnsi="Georgia" w:cs="Georgia" w:eastAsia="Georgia"/>
      <w:b/>
      <w:bCs/>
      <w:i w:val="0"/>
      <w:color w:val="0D9488"/>
      <w:sz w:val="28"/>
    </w:rPr>
  </w:style>
  <w:style w:type="paragraph" w:styleId="Heading4">
    <w:name w:val="heading 4"/>
    <w:basedOn w:val="Normal"/>
    <w:next w:val="Normal"/>
    <w:link w:val="Heading4Char"/>
    <w:uiPriority w:val="9"/>
    <w:semiHidden/>
    <w:unhideWhenUsed/>
    <w:qFormat/>
    <w:rsid w:val="00FC693F"/>
    <w:pPr>
      <w:keepNext/>
      <w:keepLines/>
      <w:spacing w:before="320" w:after="120"/>
      <w:outlineLvl w:val="3"/>
    </w:pPr>
    <w:rPr>
      <w:rFonts w:ascii="Georgia" w:hAnsi="Georgia" w:cs="Georgia" w:eastAsia="Georgia"/>
      <w:b/>
      <w:bCs/>
      <w:i w:val="0"/>
      <w:iCs/>
      <w:color w:val="0D9488"/>
      <w:sz w:val="24"/>
    </w:rPr>
  </w:style>
  <w:style w:type="paragraph" w:styleId="Heading5">
    <w:name w:val="heading 5"/>
    <w:basedOn w:val="Normal"/>
    <w:next w:val="Normal"/>
    <w:link w:val="Heading5Char"/>
    <w:uiPriority w:val="9"/>
    <w:semiHidden/>
    <w:unhideWhenUsed/>
    <w:qFormat/>
    <w:rsid w:val="00FC693F"/>
    <w:pPr>
      <w:keepNext/>
      <w:keepLines/>
      <w:spacing w:before="320" w:after="120"/>
      <w:outlineLvl w:val="4"/>
    </w:pPr>
    <w:rPr>
      <w:rFonts w:ascii="Georgia" w:hAnsi="Georgia" w:cs="Georgia" w:eastAsia="Georgia"/>
      <w:b/>
      <w:i w:val="0"/>
      <w:color w:val="1F2A37"/>
      <w:sz w:val="22"/>
    </w:rPr>
  </w:style>
  <w:style w:type="paragraph" w:styleId="Heading6">
    <w:name w:val="heading 6"/>
    <w:basedOn w:val="Normal"/>
    <w:next w:val="Normal"/>
    <w:link w:val="Heading6Char"/>
    <w:uiPriority w:val="9"/>
    <w:semiHidden/>
    <w:unhideWhenUsed/>
    <w:qFormat/>
    <w:rsid w:val="00FC693F"/>
    <w:pPr>
      <w:keepNext/>
      <w:keepLines/>
      <w:spacing w:before="320" w:after="120"/>
      <w:outlineLvl w:val="5"/>
    </w:pPr>
    <w:rPr>
      <w:rFonts w:ascii="Georgia" w:hAnsi="Georgia" w:cs="Georgia" w:eastAsia="Georgia"/>
      <w:b/>
      <w:i w:val="0"/>
      <w:iCs/>
      <w:color w:val="1F2A37"/>
      <w:sz w:val="2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