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Notfall-Koffer</w:t>
      </w:r>
    </w:p>
    <w:p>
      <w:r>
        <w:rPr>
          <w:b w:val="0"/>
          <w:i w:val="0"/>
          <w:color w:val="5B6B7A"/>
          <w:sz w:val="30"/>
        </w:rPr>
        <w:t>Modul 5: Transfer in den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5: Transfer in den Alltag</w:t>
      </w:r>
    </w:p>
    <w:p>
      <w:pPr>
        <w:pStyle w:val="Heading1"/>
      </w:pPr>
      <w:r>
        <w:t>Notfall-Koffer</w:t>
      </w:r>
    </w:p>
    <w:p>
      <w:pPr>
        <w:spacing w:after="40"/>
      </w:pPr>
      <w:r>
        <w:rPr>
          <w:b w:val="0"/>
          <w:i/>
          <w:color w:val="5B6B7A"/>
          <w:sz w:val="24"/>
        </w:rPr>
        <w:t>– Welche Technik hilft in welcher akuten Situation?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11-kit.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