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Wie man neue Routinen aufbaut, ohne sich zu überfordern</w:t>
      </w:r>
    </w:p>
    <w:p>
      <w:r>
        <w:rPr>
          <w:b w:val="0"/>
          <w:i w:val="0"/>
          <w:color w:val="5B6B7A"/>
          <w:sz w:val="30"/>
        </w:rPr>
        <w:t>Modul 5: Transfer in den Alltag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5: Transfer in den Alltag</w:t>
      </w:r>
    </w:p>
    <w:p>
      <w:pPr>
        <w:pStyle w:val="Heading1"/>
      </w:pPr>
      <w:r>
        <w:t>Wie man neue Routinen aufbaut, ohne sich zu überfordern</w:t>
      </w:r>
    </w:p>
    <w:p>
      <w:pPr>
        <w:spacing w:after="40"/>
      </w:pPr>
      <w:r>
        <w:rPr>
          <w:b w:val="0"/>
          <w:i/>
          <w:color w:val="5B6B7A"/>
          <w:sz w:val="24"/>
        </w:rPr>
        <w:t>– Kleine Schritte, die tragen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110-steps.jpg"/>
                    <pic:cNvPicPr/>
                  </pic:nvPicPr>
                  <pic:blipFill>
                    <a:blip r:embed="rId9"/>
                    <a:stretch>
                      <a:fillRect/>
                    </a:stretch>
                  </pic:blipFill>
                  <pic:spPr>
                    <a:xfrm>
                      <a:off x="0" y="0"/>
                      <a:ext cx="5400000" cy="2835000"/>
                    </a:xfrm>
                    <a:prstGeom prst="rect"/>
                  </pic:spPr>
                </pic:pic>
              </a:graphicData>
            </a:graphic>
          </wp:inline>
        </w:drawing>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