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Radikale Akzeptanz</w:t>
      </w:r>
    </w:p>
    <w:p>
      <w:r>
        <w:rPr>
          <w:b w:val="0"/>
          <w:i w:val="0"/>
          <w:color w:val="5B6B7A"/>
          <w:sz w:val="30"/>
        </w:rPr>
        <w:t>Modul 4: Aktive Stressregulation &amp; Ruhephasen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4: Aktive Stressregulation &amp; Ruhephasen</w:t>
      </w:r>
    </w:p>
    <w:p>
      <w:pPr>
        <w:pStyle w:val="Heading1"/>
      </w:pPr>
      <w:r>
        <w:t>Radikale Akzeptanz</w:t>
      </w:r>
    </w:p>
    <w:p>
      <w:pPr>
        <w:spacing w:after="40"/>
      </w:pPr>
      <w:r>
        <w:rPr>
          <w:b w:val="0"/>
          <w:i/>
          <w:color w:val="5B6B7A"/>
          <w:sz w:val="24"/>
        </w:rPr>
        <w:t>– Annehmen, was gerade ist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7-hand.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