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Muster erkennen</w:t>
      </w:r>
    </w:p>
    <w:p>
      <w:r>
        <w:rPr>
          <w:b w:val="0"/>
          <w:i w:val="0"/>
          <w:color w:val="5B6B7A"/>
          <w:sz w:val="30"/>
        </w:rPr>
        <w:t>Modul 3: Dokumentation und emotionale Klärung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3: Dokumentation und emotionale Klärung</w:t>
      </w:r>
    </w:p>
    <w:p>
      <w:pPr>
        <w:pStyle w:val="Heading1"/>
      </w:pPr>
      <w:r>
        <w:t>Muster erkennen</w:t>
      </w:r>
    </w:p>
    <w:p>
      <w:pPr>
        <w:spacing w:after="40"/>
      </w:pPr>
      <w:r>
        <w:rPr>
          <w:b w:val="0"/>
          <w:i/>
          <w:color w:val="5B6B7A"/>
          <w:sz w:val="24"/>
        </w:rPr>
        <w:t>– Trigger und Reaktionen sichtbar machen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5-pattern.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