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Das Gefühlstagebuch: Mehr als nur „Liebes Tagebuch“</w:t>
      </w:r>
    </w:p>
    <w:p>
      <w:r>
        <w:rPr>
          <w:b w:val="0"/>
          <w:i w:val="0"/>
          <w:color w:val="5B6B7A"/>
          <w:sz w:val="30"/>
        </w:rPr>
        <w:t>Modul 3: Dokumentation und emotionale Klärung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3: Dokumentation und emotionale Klärung</w:t>
      </w:r>
    </w:p>
    <w:p>
      <w:pPr>
        <w:pStyle w:val="Heading1"/>
      </w:pPr>
      <w:r>
        <w:t>Das Gefühlstagebuch: Mehr als nur „Liebes Tagebuch“</w:t>
      </w:r>
    </w:p>
    <w:p>
      <w:pPr>
        <w:spacing w:after="40"/>
      </w:pPr>
      <w:r>
        <w:rPr>
          <w:b w:val="0"/>
          <w:i/>
          <w:color w:val="5B6B7A"/>
          <w:sz w:val="24"/>
        </w:rPr>
        <w:t>– Strukturierte Reflexion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4-journal.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