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Der Body Check (Bodyscan)</w:t>
      </w:r>
    </w:p>
    <w:p>
      <w:r>
        <w:rPr>
          <w:b w:val="0"/>
          <w:i w:val="0"/>
          <w:color w:val="5B6B7A"/>
          <w:sz w:val="30"/>
        </w:rPr>
        <w:t>Modul 2: Körperzentrierte Methoden (Somatic Tracking)</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Modul 2: Körperzentrierte Methoden (Somatic Tracking)</w:t>
      </w:r>
    </w:p>
    <w:p>
      <w:pPr>
        <w:pStyle w:val="Heading1"/>
      </w:pPr>
      <w:r>
        <w:t>Der Body Check (Bodyscan)</w:t>
      </w:r>
    </w:p>
    <w:p>
      <w:pPr>
        <w:spacing w:after="40"/>
      </w:pPr>
      <w:r>
        <w:rPr>
          <w:b w:val="0"/>
          <w:i/>
          <w:color w:val="5B6B7A"/>
          <w:sz w:val="24"/>
        </w:rPr>
        <w:t>– Spannungen lokalisieren und loslassen –</w:t>
      </w:r>
    </w:p>
    <w:p>
      <w:r>
        <w:rPr>
          <w:b w:val="0"/>
          <w:i w:val="0"/>
          <w:color w:val="5B6B7A"/>
          <w:sz w:val="18"/>
        </w:rPr>
        <w:t>Armin Hünniger · 12.10.2026 · Innere Balance &amp; Selbstreflexion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101-bodyscan.jpg"/>
                    <pic:cNvPicPr/>
                  </pic:nvPicPr>
                  <pic:blipFill>
                    <a:blip r:embed="rId9"/>
                    <a:stretch>
                      <a:fillRect/>
                    </a:stretch>
                  </pic:blipFill>
                  <pic:spPr>
                    <a:xfrm>
                      <a:off x="0" y="0"/>
                      <a:ext cx="5400000" cy="2835000"/>
                    </a:xfrm>
                    <a:prstGeom prst="rect"/>
                  </pic:spPr>
                </pic:pic>
              </a:graphicData>
            </a:graphic>
          </wp:inline>
        </w:drawing>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